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DD6121" w:rsidRPr="00DD6121" w:rsidRDefault="00DD6121" w:rsidP="00DD6121">
      <w:pPr>
        <w:jc w:val="center"/>
        <w:rPr>
          <w:rFonts w:ascii="Arial" w:hAnsi="Arial" w:cs="Arial"/>
          <w:b/>
          <w:bCs/>
          <w:sz w:val="20"/>
          <w:szCs w:val="20"/>
        </w:rPr>
      </w:pPr>
      <w:r w:rsidRPr="00DD6121">
        <w:rPr>
          <w:rFonts w:ascii="Arial" w:hAnsi="Arial" w:cs="Arial"/>
          <w:b/>
          <w:bCs/>
          <w:sz w:val="20"/>
          <w:szCs w:val="20"/>
        </w:rPr>
        <w:t>COMMERCIAL PARTICIPATION INTEREST ENDORSEMENT</w:t>
      </w:r>
    </w:p>
    <w:p w:rsidR="00DD6121" w:rsidRPr="00DD6121" w:rsidRDefault="00DD6121" w:rsidP="00DD6121">
      <w:pPr>
        <w:jc w:val="center"/>
        <w:rPr>
          <w:rFonts w:ascii="Arial" w:hAnsi="Arial" w:cs="Arial"/>
          <w:b/>
          <w:bCs/>
          <w:sz w:val="20"/>
          <w:szCs w:val="20"/>
        </w:rPr>
      </w:pPr>
      <w:r w:rsidRPr="00DD6121">
        <w:rPr>
          <w:rFonts w:ascii="Arial" w:hAnsi="Arial" w:cs="Arial"/>
          <w:b/>
          <w:bCs/>
          <w:sz w:val="20"/>
          <w:szCs w:val="20"/>
        </w:rPr>
        <w:t>Attached to Policy No. __________</w:t>
      </w:r>
    </w:p>
    <w:p w:rsidR="00DD6121" w:rsidRPr="00DD6121" w:rsidRDefault="00DD6121" w:rsidP="00DD6121">
      <w:pPr>
        <w:jc w:val="center"/>
        <w:rPr>
          <w:rFonts w:ascii="Arial" w:hAnsi="Arial" w:cs="Arial"/>
          <w:b/>
          <w:bCs/>
          <w:sz w:val="20"/>
          <w:szCs w:val="20"/>
        </w:rPr>
      </w:pPr>
      <w:r w:rsidRPr="00DD6121">
        <w:rPr>
          <w:rFonts w:ascii="Arial" w:hAnsi="Arial" w:cs="Arial"/>
          <w:b/>
          <w:bCs/>
          <w:sz w:val="20"/>
          <w:szCs w:val="20"/>
        </w:rPr>
        <w:t>Issued by</w:t>
      </w:r>
    </w:p>
    <w:p w:rsidR="00DD6121" w:rsidRPr="00DD6121" w:rsidRDefault="00DD6121" w:rsidP="00DD6121">
      <w:pPr>
        <w:jc w:val="center"/>
        <w:rPr>
          <w:rFonts w:ascii="Arial" w:hAnsi="Arial" w:cs="Arial"/>
          <w:b/>
          <w:bCs/>
          <w:sz w:val="20"/>
          <w:szCs w:val="20"/>
        </w:rPr>
      </w:pPr>
      <w:r w:rsidRPr="00DD6121">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D6121" w:rsidRPr="00DD6121" w:rsidRDefault="00DD6121" w:rsidP="00DD6121">
      <w:pPr>
        <w:widowControl w:val="0"/>
        <w:numPr>
          <w:ilvl w:val="0"/>
          <w:numId w:val="4"/>
        </w:numPr>
        <w:suppressAutoHyphens/>
        <w:ind w:left="540" w:hanging="540"/>
        <w:contextualSpacing/>
        <w:jc w:val="both"/>
        <w:rPr>
          <w:rFonts w:ascii="Arial" w:hAnsi="Arial"/>
          <w:color w:val="000000"/>
          <w:kern w:val="16"/>
          <w:sz w:val="20"/>
          <w:szCs w:val="20"/>
        </w:rPr>
      </w:pPr>
      <w:r w:rsidRPr="00DD6121">
        <w:rPr>
          <w:rFonts w:ascii="Arial" w:hAnsi="Arial"/>
          <w:color w:val="000000"/>
          <w:kern w:val="16"/>
          <w:sz w:val="20"/>
          <w:szCs w:val="20"/>
        </w:rPr>
        <w:t>This endorsement is subject to the exclusions in Section 4 of this endorsement, the Exclusions from Coverage in the policy, the Exceptions from Coverage contained in Schedule B, and the Conditions.</w:t>
      </w:r>
    </w:p>
    <w:p w:rsidR="00DD6121" w:rsidRPr="00DD6121" w:rsidRDefault="00DD6121" w:rsidP="00DD6121">
      <w:pPr>
        <w:widowControl w:val="0"/>
        <w:ind w:left="540" w:hanging="540"/>
        <w:contextualSpacing/>
        <w:jc w:val="both"/>
        <w:rPr>
          <w:rFonts w:ascii="Arial" w:hAnsi="Arial"/>
          <w:color w:val="000000"/>
          <w:kern w:val="16"/>
          <w:sz w:val="20"/>
          <w:szCs w:val="20"/>
        </w:rPr>
      </w:pPr>
    </w:p>
    <w:p w:rsidR="00DD6121" w:rsidRPr="00DD6121" w:rsidRDefault="00DD6121" w:rsidP="00DD6121">
      <w:pPr>
        <w:widowControl w:val="0"/>
        <w:numPr>
          <w:ilvl w:val="0"/>
          <w:numId w:val="4"/>
        </w:numPr>
        <w:suppressAutoHyphens/>
        <w:ind w:left="540" w:hanging="540"/>
        <w:contextualSpacing/>
        <w:jc w:val="both"/>
        <w:rPr>
          <w:rFonts w:ascii="Arial" w:hAnsi="Arial"/>
          <w:color w:val="000000"/>
          <w:kern w:val="16"/>
          <w:sz w:val="20"/>
          <w:szCs w:val="20"/>
        </w:rPr>
      </w:pPr>
      <w:r w:rsidRPr="00DD6121">
        <w:rPr>
          <w:rFonts w:ascii="Arial" w:hAnsi="Arial"/>
          <w:color w:val="000000"/>
          <w:kern w:val="16"/>
          <w:sz w:val="20"/>
          <w:szCs w:val="20"/>
        </w:rPr>
        <w:t xml:space="preserve">As used in this endorsement: </w:t>
      </w:r>
    </w:p>
    <w:p w:rsidR="00DD6121" w:rsidRPr="00DD6121" w:rsidRDefault="00DD6121" w:rsidP="00DD6121">
      <w:pPr>
        <w:widowControl w:val="0"/>
        <w:numPr>
          <w:ilvl w:val="0"/>
          <w:numId w:val="5"/>
        </w:numPr>
        <w:suppressAutoHyphens/>
        <w:ind w:left="1080" w:hanging="540"/>
        <w:contextualSpacing/>
        <w:jc w:val="both"/>
        <w:rPr>
          <w:rFonts w:ascii="Arial" w:hAnsi="Arial"/>
          <w:color w:val="000000"/>
          <w:kern w:val="16"/>
          <w:sz w:val="20"/>
          <w:szCs w:val="20"/>
        </w:rPr>
      </w:pPr>
      <w:r w:rsidRPr="00DD6121">
        <w:rPr>
          <w:rFonts w:ascii="Arial" w:hAnsi="Arial" w:cs="Arial"/>
          <w:color w:val="000000"/>
          <w:kern w:val="16"/>
          <w:sz w:val="20"/>
          <w:szCs w:val="20"/>
        </w:rPr>
        <w:t>“</w:t>
      </w:r>
      <w:r w:rsidRPr="00DD6121">
        <w:rPr>
          <w:rFonts w:ascii="Arial" w:hAnsi="Arial"/>
          <w:color w:val="000000"/>
          <w:kern w:val="16"/>
          <w:sz w:val="20"/>
          <w:szCs w:val="20"/>
        </w:rPr>
        <w:t>Loan Documents”</w:t>
      </w:r>
      <w:r w:rsidRPr="00DD6121">
        <w:rPr>
          <w:rFonts w:ascii="Arial" w:hAnsi="Arial" w:cs="Arial"/>
          <w:color w:val="000000"/>
          <w:kern w:val="16"/>
          <w:sz w:val="20"/>
          <w:szCs w:val="20"/>
        </w:rPr>
        <w:t>:</w:t>
      </w:r>
      <w:r w:rsidRPr="00DD6121">
        <w:rPr>
          <w:rFonts w:ascii="Arial" w:hAnsi="Arial"/>
          <w:color w:val="000000"/>
          <w:kern w:val="16"/>
          <w:sz w:val="20"/>
          <w:szCs w:val="20"/>
        </w:rPr>
        <w:t xml:space="preserve"> Those documents, as they exist at the Date of Policy, creating the Indebtedness.</w:t>
      </w:r>
    </w:p>
    <w:p w:rsidR="00DD6121" w:rsidRPr="00DD6121" w:rsidRDefault="00DD6121" w:rsidP="00DD6121">
      <w:pPr>
        <w:widowControl w:val="0"/>
        <w:numPr>
          <w:ilvl w:val="0"/>
          <w:numId w:val="5"/>
        </w:numPr>
        <w:suppressAutoHyphens/>
        <w:ind w:left="1080" w:hanging="540"/>
        <w:contextualSpacing/>
        <w:jc w:val="both"/>
        <w:rPr>
          <w:rFonts w:ascii="Arial" w:hAnsi="Arial"/>
          <w:color w:val="000000"/>
          <w:kern w:val="16"/>
          <w:sz w:val="20"/>
          <w:szCs w:val="20"/>
        </w:rPr>
      </w:pPr>
      <w:r w:rsidRPr="00DD6121">
        <w:rPr>
          <w:rFonts w:ascii="Arial" w:hAnsi="Arial"/>
          <w:color w:val="000000"/>
          <w:kern w:val="16"/>
          <w:sz w:val="20"/>
          <w:szCs w:val="20"/>
        </w:rPr>
        <w:t>“Participation Interest</w:t>
      </w:r>
      <w:r w:rsidRPr="00DD6121">
        <w:rPr>
          <w:rFonts w:ascii="Arial" w:hAnsi="Arial" w:cs="Arial"/>
          <w:color w:val="000000"/>
          <w:sz w:val="20"/>
          <w:szCs w:val="20"/>
        </w:rPr>
        <w:t>”</w:t>
      </w:r>
      <w:r w:rsidRPr="00DD6121">
        <w:rPr>
          <w:rFonts w:ascii="Arial" w:hAnsi="Arial"/>
          <w:color w:val="000000"/>
          <w:kern w:val="16"/>
          <w:sz w:val="20"/>
          <w:szCs w:val="20"/>
        </w:rPr>
        <w:t>: Those elements of interest, established and calculated pursuant to the formula provided in the Loan Documents, that are payable or allocated to the Insured based upon:</w:t>
      </w:r>
    </w:p>
    <w:p w:rsidR="00DD6121" w:rsidRPr="00DD6121" w:rsidRDefault="00DD6121" w:rsidP="00DD6121">
      <w:pPr>
        <w:ind w:left="1620" w:hanging="540"/>
        <w:contextualSpacing/>
        <w:jc w:val="both"/>
        <w:rPr>
          <w:rFonts w:ascii="Arial" w:hAnsi="Arial"/>
          <w:color w:val="000000"/>
          <w:kern w:val="16"/>
          <w:sz w:val="20"/>
          <w:szCs w:val="20"/>
        </w:rPr>
      </w:pPr>
      <w:r w:rsidRPr="00DD6121">
        <w:rPr>
          <w:rFonts w:ascii="Arial" w:hAnsi="Arial" w:cs="Arial"/>
          <w:color w:val="000000"/>
          <w:kern w:val="16"/>
          <w:sz w:val="20"/>
          <w:szCs w:val="20"/>
        </w:rPr>
        <w:t>i.</w:t>
      </w:r>
      <w:r w:rsidRPr="00DD6121">
        <w:rPr>
          <w:rFonts w:ascii="Arial" w:hAnsi="Arial" w:cs="Arial"/>
          <w:color w:val="000000"/>
          <w:kern w:val="16"/>
          <w:sz w:val="20"/>
          <w:szCs w:val="20"/>
        </w:rPr>
        <w:tab/>
      </w:r>
      <w:r w:rsidRPr="00DD6121">
        <w:rPr>
          <w:rFonts w:ascii="Arial" w:hAnsi="Arial"/>
          <w:color w:val="000000"/>
          <w:kern w:val="16"/>
          <w:sz w:val="20"/>
          <w:szCs w:val="20"/>
        </w:rPr>
        <w:t>the borrower’s equity in the Title;</w:t>
      </w:r>
    </w:p>
    <w:p w:rsidR="00DD6121" w:rsidRPr="00DD6121" w:rsidRDefault="00DD6121" w:rsidP="00DD6121">
      <w:pPr>
        <w:ind w:left="1620" w:hanging="540"/>
        <w:contextualSpacing/>
        <w:jc w:val="both"/>
        <w:rPr>
          <w:rFonts w:ascii="Arial" w:hAnsi="Arial"/>
          <w:color w:val="000000"/>
          <w:kern w:val="16"/>
          <w:sz w:val="20"/>
          <w:szCs w:val="20"/>
        </w:rPr>
      </w:pPr>
      <w:r w:rsidRPr="00DD6121">
        <w:rPr>
          <w:rFonts w:ascii="Arial" w:hAnsi="Arial" w:cs="Arial"/>
          <w:color w:val="000000"/>
          <w:kern w:val="16"/>
          <w:sz w:val="20"/>
          <w:szCs w:val="20"/>
        </w:rPr>
        <w:t>ii.</w:t>
      </w:r>
      <w:r w:rsidRPr="00DD6121">
        <w:rPr>
          <w:rFonts w:ascii="Arial" w:hAnsi="Arial" w:cs="Arial"/>
          <w:color w:val="000000"/>
          <w:kern w:val="16"/>
          <w:sz w:val="20"/>
          <w:szCs w:val="20"/>
        </w:rPr>
        <w:tab/>
      </w:r>
      <w:r w:rsidRPr="00DD6121">
        <w:rPr>
          <w:rFonts w:ascii="Arial" w:hAnsi="Arial"/>
          <w:color w:val="000000"/>
          <w:kern w:val="16"/>
          <w:sz w:val="20"/>
          <w:szCs w:val="20"/>
        </w:rPr>
        <w:t>the increase in value of the Title; or</w:t>
      </w:r>
    </w:p>
    <w:p w:rsidR="00DD6121" w:rsidRPr="00DD6121" w:rsidRDefault="00DD6121" w:rsidP="00DD6121">
      <w:pPr>
        <w:ind w:left="1620" w:hanging="540"/>
        <w:contextualSpacing/>
        <w:jc w:val="both"/>
        <w:rPr>
          <w:rFonts w:ascii="Arial" w:hAnsi="Arial"/>
          <w:color w:val="000000"/>
          <w:kern w:val="16"/>
          <w:sz w:val="20"/>
          <w:szCs w:val="20"/>
        </w:rPr>
      </w:pPr>
      <w:r w:rsidRPr="00DD6121">
        <w:rPr>
          <w:rFonts w:ascii="Arial" w:hAnsi="Arial" w:cs="Arial"/>
          <w:color w:val="000000"/>
          <w:kern w:val="16"/>
          <w:sz w:val="20"/>
          <w:szCs w:val="20"/>
        </w:rPr>
        <w:t>iii.</w:t>
      </w:r>
      <w:r w:rsidRPr="00DD6121">
        <w:rPr>
          <w:rFonts w:ascii="Arial" w:hAnsi="Arial" w:cs="Arial"/>
          <w:color w:val="000000"/>
          <w:kern w:val="16"/>
          <w:sz w:val="20"/>
          <w:szCs w:val="20"/>
        </w:rPr>
        <w:tab/>
      </w:r>
      <w:r w:rsidRPr="00DD6121">
        <w:rPr>
          <w:rFonts w:ascii="Arial" w:hAnsi="Arial"/>
          <w:color w:val="000000"/>
          <w:kern w:val="16"/>
          <w:sz w:val="20"/>
          <w:szCs w:val="20"/>
        </w:rPr>
        <w:t xml:space="preserve">cash flow. </w:t>
      </w:r>
    </w:p>
    <w:p w:rsidR="00DD6121" w:rsidRPr="00DD6121" w:rsidRDefault="00DD6121" w:rsidP="00DD6121">
      <w:pPr>
        <w:ind w:left="540" w:hanging="540"/>
        <w:contextualSpacing/>
        <w:jc w:val="both"/>
        <w:rPr>
          <w:rFonts w:ascii="Arial" w:hAnsi="Arial"/>
          <w:color w:val="000000"/>
          <w:kern w:val="16"/>
          <w:sz w:val="20"/>
          <w:szCs w:val="20"/>
        </w:rPr>
      </w:pPr>
    </w:p>
    <w:p w:rsidR="00DD6121" w:rsidRPr="00DD6121" w:rsidRDefault="00DD6121" w:rsidP="00DD6121">
      <w:pPr>
        <w:widowControl w:val="0"/>
        <w:numPr>
          <w:ilvl w:val="0"/>
          <w:numId w:val="4"/>
        </w:numPr>
        <w:suppressAutoHyphens/>
        <w:ind w:left="540" w:hanging="540"/>
        <w:contextualSpacing/>
        <w:jc w:val="both"/>
        <w:rPr>
          <w:rFonts w:ascii="Arial" w:hAnsi="Arial"/>
          <w:color w:val="000000"/>
          <w:kern w:val="16"/>
          <w:sz w:val="20"/>
          <w:szCs w:val="20"/>
        </w:rPr>
      </w:pPr>
      <w:r w:rsidRPr="00DD6121">
        <w:rPr>
          <w:rFonts w:ascii="Arial" w:hAnsi="Arial"/>
          <w:color w:val="000000"/>
          <w:kern w:val="16"/>
          <w:sz w:val="20"/>
          <w:szCs w:val="20"/>
        </w:rPr>
        <w:t xml:space="preserve">The policy insures as of the Date of Policy against loss or damage sustained by the Insured by reason of: </w:t>
      </w:r>
    </w:p>
    <w:p w:rsidR="00DD6121" w:rsidRPr="00DD6121" w:rsidRDefault="00DD6121" w:rsidP="00DD6121">
      <w:pPr>
        <w:ind w:left="1080" w:hanging="540"/>
        <w:contextualSpacing/>
        <w:jc w:val="both"/>
        <w:rPr>
          <w:rFonts w:ascii="Arial" w:hAnsi="Arial"/>
          <w:color w:val="000000"/>
          <w:kern w:val="16"/>
          <w:sz w:val="20"/>
          <w:szCs w:val="20"/>
        </w:rPr>
      </w:pPr>
      <w:r w:rsidRPr="00DD6121">
        <w:rPr>
          <w:rFonts w:ascii="Arial" w:hAnsi="Arial" w:cs="Arial"/>
          <w:color w:val="000000"/>
          <w:kern w:val="16"/>
          <w:sz w:val="20"/>
          <w:szCs w:val="20"/>
        </w:rPr>
        <w:t>a.</w:t>
      </w:r>
      <w:r w:rsidRPr="00DD6121">
        <w:rPr>
          <w:rFonts w:ascii="Arial" w:hAnsi="Arial" w:cs="Arial"/>
          <w:color w:val="000000"/>
          <w:kern w:val="16"/>
          <w:sz w:val="20"/>
          <w:szCs w:val="20"/>
        </w:rPr>
        <w:tab/>
      </w:r>
      <w:r w:rsidRPr="00DD6121">
        <w:rPr>
          <w:rFonts w:ascii="Arial" w:hAnsi="Arial"/>
          <w:color w:val="000000"/>
          <w:kern w:val="16"/>
          <w:sz w:val="20"/>
          <w:szCs w:val="20"/>
        </w:rPr>
        <w:t>The invalidity or unenforceability of the lien of the Insured Mortgage resulting from the provisions in the Insured Mortgage or in the Loan Documents which provide for Participation Interest.</w:t>
      </w:r>
    </w:p>
    <w:p w:rsidR="00DD6121" w:rsidRPr="00DD6121" w:rsidRDefault="00DD6121" w:rsidP="00DD6121">
      <w:pPr>
        <w:ind w:left="1080" w:hanging="540"/>
        <w:contextualSpacing/>
        <w:jc w:val="both"/>
        <w:rPr>
          <w:rFonts w:ascii="Arial" w:hAnsi="Arial"/>
          <w:color w:val="000000"/>
          <w:kern w:val="16"/>
          <w:sz w:val="20"/>
          <w:szCs w:val="20"/>
        </w:rPr>
      </w:pPr>
      <w:r w:rsidRPr="00DD6121">
        <w:rPr>
          <w:rFonts w:ascii="Arial" w:hAnsi="Arial" w:cs="Arial"/>
          <w:color w:val="000000"/>
          <w:kern w:val="16"/>
          <w:sz w:val="20"/>
          <w:szCs w:val="20"/>
        </w:rPr>
        <w:t>b.</w:t>
      </w:r>
      <w:r w:rsidRPr="00DD6121">
        <w:rPr>
          <w:rFonts w:ascii="Arial" w:hAnsi="Arial" w:cs="Arial"/>
          <w:color w:val="000000"/>
          <w:kern w:val="16"/>
          <w:sz w:val="20"/>
          <w:szCs w:val="20"/>
        </w:rPr>
        <w:tab/>
      </w:r>
      <w:r w:rsidRPr="00DD6121">
        <w:rPr>
          <w:rFonts w:ascii="Arial" w:hAnsi="Arial"/>
          <w:color w:val="000000"/>
          <w:kern w:val="16"/>
          <w:sz w:val="20"/>
          <w:szCs w:val="20"/>
        </w:rPr>
        <w:t>Lack of priority of the lien of the Insured Mortgage at the Date of Policy as security for (i) the unpaid principal balance of the loan and (ii) the interest on the loan, including the Participation Interest, if any, which lack of priority is caused by the provisions in the Loan Documents for payment or allocation to the Insured of any Participation Interest.</w:t>
      </w:r>
    </w:p>
    <w:p w:rsidR="00DD6121" w:rsidRPr="00DD6121" w:rsidRDefault="00DD6121" w:rsidP="00DD6121">
      <w:pPr>
        <w:ind w:left="540" w:hanging="540"/>
        <w:contextualSpacing/>
        <w:jc w:val="both"/>
        <w:rPr>
          <w:rFonts w:ascii="Arial" w:hAnsi="Arial"/>
          <w:color w:val="000000"/>
          <w:kern w:val="16"/>
          <w:sz w:val="20"/>
          <w:szCs w:val="20"/>
        </w:rPr>
      </w:pPr>
    </w:p>
    <w:p w:rsidR="00DD6121" w:rsidRPr="00DD6121" w:rsidRDefault="00DD6121" w:rsidP="00DD6121">
      <w:pPr>
        <w:widowControl w:val="0"/>
        <w:numPr>
          <w:ilvl w:val="0"/>
          <w:numId w:val="4"/>
        </w:numPr>
        <w:suppressAutoHyphens/>
        <w:ind w:left="540" w:hanging="540"/>
        <w:contextualSpacing/>
        <w:jc w:val="both"/>
        <w:rPr>
          <w:rFonts w:ascii="Arial" w:hAnsi="Arial"/>
          <w:color w:val="000000"/>
          <w:kern w:val="16"/>
          <w:sz w:val="20"/>
          <w:szCs w:val="20"/>
        </w:rPr>
      </w:pPr>
      <w:r w:rsidRPr="00DD6121">
        <w:rPr>
          <w:rFonts w:ascii="Arial" w:hAnsi="Arial"/>
          <w:color w:val="000000"/>
          <w:kern w:val="16"/>
          <w:sz w:val="20"/>
          <w:szCs w:val="20"/>
        </w:rPr>
        <w:t>The policy does not insure against loss or damage, and the Company will not pay costs, attorneys’ fees, or expenses that arise by reason of:</w:t>
      </w:r>
    </w:p>
    <w:p w:rsidR="00DD6121" w:rsidRPr="00DD6121" w:rsidRDefault="00DD6121" w:rsidP="00DD6121">
      <w:pPr>
        <w:ind w:left="1080" w:hanging="540"/>
        <w:contextualSpacing/>
        <w:jc w:val="both"/>
        <w:rPr>
          <w:rFonts w:ascii="Arial" w:hAnsi="Arial"/>
          <w:color w:val="000000"/>
          <w:kern w:val="16"/>
          <w:sz w:val="20"/>
          <w:szCs w:val="20"/>
        </w:rPr>
      </w:pPr>
      <w:r w:rsidRPr="00DD6121">
        <w:rPr>
          <w:rFonts w:ascii="Arial" w:hAnsi="Arial"/>
          <w:color w:val="000000"/>
          <w:kern w:val="16"/>
          <w:sz w:val="20"/>
          <w:szCs w:val="20"/>
        </w:rPr>
        <w:t>a.</w:t>
      </w:r>
      <w:r w:rsidRPr="00DD6121">
        <w:rPr>
          <w:rFonts w:ascii="Arial" w:hAnsi="Arial"/>
          <w:color w:val="000000"/>
          <w:kern w:val="16"/>
          <w:sz w:val="20"/>
          <w:szCs w:val="20"/>
        </w:rPr>
        <w:tab/>
        <w:t>usury</w:t>
      </w:r>
      <w:r w:rsidRPr="00DD6121">
        <w:rPr>
          <w:rFonts w:ascii="Arial" w:hAnsi="Arial" w:cs="Arial"/>
          <w:color w:val="000000"/>
          <w:kern w:val="16"/>
          <w:sz w:val="20"/>
          <w:szCs w:val="20"/>
        </w:rPr>
        <w:t xml:space="preserve"> law</w:t>
      </w:r>
      <w:r w:rsidRPr="00DD6121">
        <w:rPr>
          <w:rFonts w:ascii="Arial" w:hAnsi="Arial"/>
          <w:color w:val="000000"/>
          <w:kern w:val="16"/>
          <w:sz w:val="20"/>
          <w:szCs w:val="20"/>
        </w:rPr>
        <w:t xml:space="preserve">, unconscionability, or any </w:t>
      </w:r>
      <w:r w:rsidRPr="00DD6121">
        <w:rPr>
          <w:rFonts w:ascii="Arial" w:hAnsi="Arial" w:cs="Arial"/>
          <w:color w:val="000000"/>
          <w:kern w:val="16"/>
          <w:sz w:val="20"/>
          <w:szCs w:val="20"/>
        </w:rPr>
        <w:t>Consumer Protection Law</w:t>
      </w:r>
      <w:r w:rsidRPr="00DD6121">
        <w:rPr>
          <w:rFonts w:ascii="Arial" w:hAnsi="Arial"/>
          <w:color w:val="000000"/>
          <w:kern w:val="16"/>
          <w:sz w:val="20"/>
          <w:szCs w:val="20"/>
        </w:rPr>
        <w:t xml:space="preserve">; </w:t>
      </w:r>
    </w:p>
    <w:p w:rsidR="00DD6121" w:rsidRPr="00DD6121" w:rsidRDefault="00DD6121" w:rsidP="00DD6121">
      <w:pPr>
        <w:ind w:left="1080" w:hanging="540"/>
        <w:contextualSpacing/>
        <w:jc w:val="both"/>
        <w:rPr>
          <w:rFonts w:ascii="Arial" w:hAnsi="Arial"/>
          <w:color w:val="000000"/>
          <w:kern w:val="16"/>
          <w:sz w:val="20"/>
          <w:szCs w:val="20"/>
        </w:rPr>
      </w:pPr>
      <w:r w:rsidRPr="00DD6121">
        <w:rPr>
          <w:rFonts w:ascii="Arial" w:hAnsi="Arial"/>
          <w:color w:val="000000"/>
          <w:kern w:val="16"/>
          <w:sz w:val="20"/>
          <w:szCs w:val="20"/>
        </w:rPr>
        <w:t>b.</w:t>
      </w:r>
      <w:r w:rsidRPr="00DD6121">
        <w:rPr>
          <w:rFonts w:ascii="Arial" w:hAnsi="Arial"/>
          <w:color w:val="000000"/>
          <w:kern w:val="16"/>
          <w:sz w:val="20"/>
          <w:szCs w:val="20"/>
        </w:rPr>
        <w:tab/>
        <w:t xml:space="preserve">disputes over the amount of Participation Interest; </w:t>
      </w:r>
    </w:p>
    <w:p w:rsidR="00DD6121" w:rsidRPr="00DD6121" w:rsidRDefault="00DD6121" w:rsidP="00DD6121">
      <w:pPr>
        <w:ind w:left="1080" w:hanging="540"/>
        <w:contextualSpacing/>
        <w:jc w:val="both"/>
        <w:rPr>
          <w:rFonts w:ascii="Arial" w:hAnsi="Arial"/>
          <w:color w:val="000000"/>
          <w:kern w:val="16"/>
          <w:sz w:val="20"/>
          <w:szCs w:val="20"/>
        </w:rPr>
      </w:pPr>
      <w:r w:rsidRPr="00DD6121">
        <w:rPr>
          <w:rFonts w:ascii="Arial" w:hAnsi="Arial"/>
          <w:color w:val="000000"/>
          <w:kern w:val="16"/>
          <w:sz w:val="20"/>
          <w:szCs w:val="20"/>
        </w:rPr>
        <w:t>c.</w:t>
      </w:r>
      <w:r w:rsidRPr="00DD6121">
        <w:rPr>
          <w:rFonts w:ascii="Arial" w:hAnsi="Arial"/>
          <w:color w:val="000000"/>
          <w:kern w:val="16"/>
          <w:sz w:val="20"/>
          <w:szCs w:val="20"/>
        </w:rPr>
        <w:tab/>
        <w:t xml:space="preserve">failure to comply with applicable laws and regulations regarding Participation Interest; </w:t>
      </w:r>
    </w:p>
    <w:p w:rsidR="00DD6121" w:rsidRPr="00DD6121" w:rsidRDefault="00DD6121" w:rsidP="00DD6121">
      <w:pPr>
        <w:ind w:left="1080" w:hanging="540"/>
        <w:contextualSpacing/>
        <w:jc w:val="both"/>
        <w:rPr>
          <w:rFonts w:ascii="Arial" w:hAnsi="Arial"/>
          <w:color w:val="000000"/>
          <w:kern w:val="16"/>
          <w:sz w:val="20"/>
          <w:szCs w:val="20"/>
        </w:rPr>
      </w:pPr>
      <w:r w:rsidRPr="00DD6121">
        <w:rPr>
          <w:rFonts w:ascii="Arial" w:hAnsi="Arial"/>
          <w:color w:val="000000"/>
          <w:kern w:val="16"/>
          <w:sz w:val="20"/>
          <w:szCs w:val="20"/>
        </w:rPr>
        <w:t>d.</w:t>
      </w:r>
      <w:r w:rsidRPr="00DD6121">
        <w:rPr>
          <w:rFonts w:ascii="Arial" w:hAnsi="Arial"/>
          <w:color w:val="000000"/>
          <w:kern w:val="16"/>
          <w:sz w:val="20"/>
          <w:szCs w:val="20"/>
        </w:rPr>
        <w:tab/>
        <w:t>the invalidity, unenforceability</w:t>
      </w:r>
      <w:r w:rsidRPr="00DD6121">
        <w:rPr>
          <w:rFonts w:ascii="Arial" w:hAnsi="Arial" w:cs="Arial"/>
          <w:color w:val="000000"/>
          <w:kern w:val="16"/>
          <w:sz w:val="20"/>
          <w:szCs w:val="20"/>
        </w:rPr>
        <w:t>,</w:t>
      </w:r>
      <w:r w:rsidRPr="00DD6121">
        <w:rPr>
          <w:rFonts w:ascii="Arial" w:hAnsi="Arial"/>
          <w:color w:val="000000"/>
          <w:kern w:val="16"/>
          <w:sz w:val="20"/>
          <w:szCs w:val="20"/>
        </w:rPr>
        <w:t xml:space="preserve"> or lack of priority of the lien of the Insured Mortgage as security for the Participation Interest because all applicable mortgage recording or similar intangible taxes were not paid; or</w:t>
      </w:r>
    </w:p>
    <w:p w:rsidR="00DD6121" w:rsidRPr="00DD6121" w:rsidRDefault="00DD6121" w:rsidP="00DD6121">
      <w:pPr>
        <w:ind w:left="1080" w:hanging="540"/>
        <w:contextualSpacing/>
        <w:jc w:val="both"/>
        <w:rPr>
          <w:rFonts w:ascii="Arial" w:hAnsi="Arial"/>
          <w:color w:val="000000"/>
          <w:kern w:val="16"/>
          <w:sz w:val="20"/>
          <w:szCs w:val="20"/>
        </w:rPr>
      </w:pPr>
      <w:r w:rsidRPr="00DD6121">
        <w:rPr>
          <w:rFonts w:ascii="Arial" w:hAnsi="Arial"/>
          <w:color w:val="000000"/>
          <w:kern w:val="16"/>
          <w:sz w:val="20"/>
          <w:szCs w:val="20"/>
        </w:rPr>
        <w:t>e.</w:t>
      </w:r>
      <w:r w:rsidRPr="00DD6121">
        <w:rPr>
          <w:rFonts w:ascii="Arial" w:hAnsi="Arial"/>
          <w:color w:val="000000"/>
          <w:kern w:val="16"/>
          <w:sz w:val="20"/>
          <w:szCs w:val="20"/>
        </w:rPr>
        <w:tab/>
        <w:t>any statutory lien for services provided, labor performed, or materials or equipment furnished arising after the Date of Policy.</w:t>
      </w:r>
    </w:p>
    <w:p w:rsidR="00DD6121" w:rsidRPr="00DD6121" w:rsidRDefault="00DD6121" w:rsidP="00DD6121">
      <w:pPr>
        <w:ind w:left="720" w:hanging="720"/>
        <w:contextualSpacing/>
        <w:jc w:val="both"/>
        <w:rPr>
          <w:rFonts w:ascii="Arial" w:hAnsi="Arial"/>
          <w:color w:val="000000"/>
          <w:kern w:val="16"/>
          <w:sz w:val="20"/>
          <w:szCs w:val="20"/>
        </w:rPr>
      </w:pPr>
    </w:p>
    <w:p w:rsidR="00DD6121" w:rsidRPr="00DD6121" w:rsidRDefault="00DD6121" w:rsidP="00DD6121">
      <w:pPr>
        <w:contextualSpacing/>
        <w:jc w:val="both"/>
        <w:rPr>
          <w:rFonts w:ascii="Arial" w:hAnsi="Arial"/>
          <w:color w:val="000000"/>
          <w:kern w:val="16"/>
          <w:sz w:val="20"/>
          <w:szCs w:val="20"/>
        </w:rPr>
      </w:pPr>
      <w:r w:rsidRPr="00DD6121">
        <w:rPr>
          <w:rFonts w:ascii="Arial" w:hAnsi="Arial"/>
          <w:color w:val="000000"/>
          <w:kern w:val="16"/>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bookmarkEnd w:id="0"/>
    <w:bookmarkEnd w:id="1"/>
    <w:p w:rsidR="00377ED5" w:rsidRDefault="00377ED5" w:rsidP="00377ED5">
      <w:pPr>
        <w:pStyle w:val="NormalWeb"/>
        <w:spacing w:before="0" w:beforeAutospacing="0" w:after="0" w:afterAutospacing="0"/>
        <w:jc w:val="both"/>
        <w:rPr>
          <w:rFonts w:ascii="Arial" w:eastAsia="Times New Roman" w:hAnsi="Arial" w:cs="Arial"/>
          <w:bCs/>
          <w:iCs/>
          <w:color w:val="auto"/>
          <w:sz w:val="20"/>
          <w:szCs w:val="20"/>
        </w:rPr>
      </w:pPr>
    </w:p>
    <w:p w:rsidR="00DD6121" w:rsidRDefault="00DD6121" w:rsidP="00377ED5">
      <w:pPr>
        <w:pStyle w:val="NormalWeb"/>
        <w:spacing w:before="0" w:beforeAutospacing="0" w:after="0" w:afterAutospacing="0"/>
        <w:jc w:val="both"/>
        <w:rPr>
          <w:rFonts w:ascii="Arial" w:eastAsia="Times New Roman" w:hAnsi="Arial" w:cs="Arial"/>
          <w:bCs/>
          <w:iCs/>
          <w:color w:val="auto"/>
          <w:sz w:val="20"/>
          <w:szCs w:val="20"/>
        </w:rPr>
      </w:pPr>
      <w:bookmarkStart w:id="2" w:name="_GoBack"/>
      <w:bookmarkEnd w:id="2"/>
    </w:p>
    <w:p w:rsidR="00DD6121" w:rsidRDefault="00897730"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9E" w:rsidRDefault="001B009E">
      <w:r>
        <w:separator/>
      </w:r>
    </w:p>
  </w:endnote>
  <w:endnote w:type="continuationSeparator" w:id="0">
    <w:p w:rsidR="001B009E" w:rsidRDefault="001B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21" w:rsidRPr="00DD6121" w:rsidRDefault="005E03CA" w:rsidP="00DD6121">
    <w:pPr>
      <w:pStyle w:val="Footer"/>
      <w:jc w:val="center"/>
      <w:rPr>
        <w:rFonts w:ascii="Arial" w:hAnsi="Arial" w:cs="Arial"/>
        <w:sz w:val="16"/>
        <w:szCs w:val="16"/>
      </w:rPr>
    </w:pPr>
    <w:r>
      <w:rPr>
        <w:rFonts w:ascii="Arial" w:hAnsi="Arial" w:cs="Arial"/>
        <w:sz w:val="16"/>
        <w:szCs w:val="16"/>
      </w:rPr>
      <w:t xml:space="preserve">WFG 30.1-21 </w:t>
    </w:r>
    <w:r>
      <w:rPr>
        <w:rFonts w:ascii="Arial" w:hAnsi="Arial" w:cs="Arial"/>
        <w:sz w:val="16"/>
        <w:szCs w:val="16"/>
      </w:rPr>
      <w:tab/>
    </w:r>
    <w:r>
      <w:rPr>
        <w:rFonts w:ascii="Arial" w:hAnsi="Arial" w:cs="Arial"/>
        <w:sz w:val="16"/>
        <w:szCs w:val="16"/>
      </w:rPr>
      <w:tab/>
      <w:t>ALTA</w:t>
    </w:r>
    <w:r w:rsidR="00DD6121" w:rsidRPr="00DD6121">
      <w:rPr>
        <w:rFonts w:ascii="Arial" w:hAnsi="Arial" w:cs="Arial"/>
        <w:sz w:val="16"/>
        <w:szCs w:val="16"/>
      </w:rPr>
      <w:t xml:space="preserve"> 30.1-21</w:t>
    </w:r>
    <w:r>
      <w:rPr>
        <w:rFonts w:ascii="Arial" w:hAnsi="Arial" w:cs="Arial"/>
        <w:sz w:val="16"/>
        <w:szCs w:val="16"/>
      </w:rPr>
      <w:t xml:space="preserve"> </w:t>
    </w:r>
    <w:r w:rsidR="00DD6121" w:rsidRPr="00DD6121">
      <w:rPr>
        <w:rFonts w:ascii="Arial" w:hAnsi="Arial" w:cs="Arial"/>
        <w:sz w:val="16"/>
        <w:szCs w:val="16"/>
      </w:rPr>
      <w:t>Commercial Participation Interest Endorsement</w:t>
    </w:r>
  </w:p>
  <w:p w:rsidR="00DD6121" w:rsidRDefault="00DD6121" w:rsidP="00DD6121">
    <w:pPr>
      <w:pStyle w:val="Footer"/>
      <w:jc w:val="right"/>
      <w:rPr>
        <w:rFonts w:ascii="Arial" w:hAnsi="Arial" w:cs="Arial"/>
        <w:sz w:val="16"/>
        <w:szCs w:val="16"/>
      </w:rPr>
    </w:pPr>
    <w:r w:rsidRPr="00DD6121">
      <w:rPr>
        <w:rFonts w:ascii="Arial" w:hAnsi="Arial" w:cs="Arial"/>
        <w:sz w:val="16"/>
        <w:szCs w:val="16"/>
      </w:rPr>
      <w:t>07-01-2021</w:t>
    </w:r>
  </w:p>
  <w:p w:rsidR="002D5AE4" w:rsidRDefault="0038262E" w:rsidP="00502DD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B4065">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2B4065">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5E03CA" w:rsidP="00B8076C">
    <w:pPr>
      <w:pStyle w:val="Footer"/>
      <w:rPr>
        <w:rFonts w:ascii="Arial" w:hAnsi="Arial" w:cs="Arial"/>
        <w:sz w:val="16"/>
        <w:szCs w:val="16"/>
      </w:rPr>
    </w:pPr>
    <w:r>
      <w:rPr>
        <w:rFonts w:ascii="Arial" w:hAnsi="Arial" w:cs="Arial"/>
        <w:sz w:val="16"/>
        <w:szCs w:val="16"/>
      </w:rPr>
      <w:t xml:space="preserve">WFG 30.1-21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DD6121">
      <w:rPr>
        <w:rFonts w:ascii="Arial" w:hAnsi="Arial" w:cs="Arial"/>
        <w:sz w:val="16"/>
        <w:szCs w:val="16"/>
      </w:rPr>
      <w:t>0.1</w:t>
    </w:r>
    <w:r w:rsidR="00B65DD3">
      <w:rPr>
        <w:rFonts w:ascii="Arial" w:hAnsi="Arial" w:cs="Arial"/>
        <w:sz w:val="16"/>
        <w:szCs w:val="16"/>
      </w:rPr>
      <w:t>-21</w:t>
    </w:r>
    <w:r>
      <w:rPr>
        <w:rFonts w:ascii="Arial" w:hAnsi="Arial" w:cs="Arial"/>
        <w:sz w:val="16"/>
        <w:szCs w:val="16"/>
      </w:rPr>
      <w:t xml:space="preserve"> </w:t>
    </w:r>
    <w:r w:rsidR="00DD6121">
      <w:rPr>
        <w:rFonts w:ascii="Arial" w:hAnsi="Arial" w:cs="Arial"/>
        <w:sz w:val="16"/>
        <w:szCs w:val="16"/>
      </w:rPr>
      <w:t>Commercial Participation Interest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502DDE">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B406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2B4065">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9E" w:rsidRDefault="001B009E">
      <w:r>
        <w:separator/>
      </w:r>
    </w:p>
  </w:footnote>
  <w:footnote w:type="continuationSeparator" w:id="0">
    <w:p w:rsidR="001B009E" w:rsidRDefault="001B0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-594360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846B7"/>
    <w:multiLevelType w:val="hybridMultilevel"/>
    <w:tmpl w:val="3B4406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088633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B7623"/>
    <w:multiLevelType w:val="hybridMultilevel"/>
    <w:tmpl w:val="2B1A0D28"/>
    <w:lvl w:ilvl="0" w:tplc="0A723C62">
      <w:start w:val="1"/>
      <w:numFmt w:val="decimal"/>
      <w:lvlText w:val="%1."/>
      <w:lvlJc w:val="left"/>
      <w:pPr>
        <w:ind w:left="1080" w:hanging="360"/>
      </w:pPr>
      <w:rPr>
        <w:rFonts w:hint="default"/>
        <w:b/>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09E"/>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065"/>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25E4"/>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2DDE"/>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3CA"/>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1BD1"/>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97730"/>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2D13"/>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2E24"/>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6121"/>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DD6121"/>
    <w:pPr>
      <w:spacing w:after="120"/>
    </w:pPr>
  </w:style>
  <w:style w:type="character" w:customStyle="1" w:styleId="BodyTextChar">
    <w:name w:val="Body Text Char"/>
    <w:basedOn w:val="DefaultParagraphFont"/>
    <w:link w:val="BodyText"/>
    <w:rsid w:val="00DD6121"/>
    <w:rPr>
      <w:sz w:val="24"/>
      <w:szCs w:val="24"/>
    </w:rPr>
  </w:style>
  <w:style w:type="paragraph" w:styleId="BodyTextIndent3">
    <w:name w:val="Body Text Indent 3"/>
    <w:basedOn w:val="Normal"/>
    <w:link w:val="BodyTextIndent3Char"/>
    <w:rsid w:val="00DD6121"/>
    <w:pPr>
      <w:spacing w:after="120"/>
      <w:ind w:left="360"/>
    </w:pPr>
    <w:rPr>
      <w:sz w:val="16"/>
      <w:szCs w:val="16"/>
    </w:rPr>
  </w:style>
  <w:style w:type="character" w:customStyle="1" w:styleId="BodyTextIndent3Char">
    <w:name w:val="Body Text Indent 3 Char"/>
    <w:basedOn w:val="DefaultParagraphFont"/>
    <w:link w:val="BodyTextIndent3"/>
    <w:rsid w:val="00DD6121"/>
    <w:rPr>
      <w:sz w:val="16"/>
      <w:szCs w:val="16"/>
    </w:rPr>
  </w:style>
  <w:style w:type="paragraph" w:styleId="BodyText2">
    <w:name w:val="Body Text 2"/>
    <w:basedOn w:val="Normal"/>
    <w:link w:val="BodyText2Char"/>
    <w:rsid w:val="00DD6121"/>
    <w:pPr>
      <w:spacing w:after="120" w:line="480" w:lineRule="auto"/>
    </w:pPr>
  </w:style>
  <w:style w:type="character" w:customStyle="1" w:styleId="BodyText2Char">
    <w:name w:val="Body Text 2 Char"/>
    <w:basedOn w:val="DefaultParagraphFont"/>
    <w:link w:val="BodyText2"/>
    <w:rsid w:val="00DD61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4</cp:revision>
  <cp:lastPrinted>2015-05-08T22:45:00Z</cp:lastPrinted>
  <dcterms:created xsi:type="dcterms:W3CDTF">2021-07-19T20:12:00Z</dcterms:created>
  <dcterms:modified xsi:type="dcterms:W3CDTF">2021-12-09T19:13:00Z</dcterms:modified>
</cp:coreProperties>
</file>